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9BD" w:rsidRDefault="003F6CD3" w:rsidP="00B05DDC">
      <w:pPr>
        <w:tabs>
          <w:tab w:val="left" w:pos="1425"/>
          <w:tab w:val="center" w:pos="4680"/>
        </w:tabs>
        <w:spacing w:after="0" w:line="48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BC59BD" w:rsidRDefault="00BC59BD" w:rsidP="00B05DDC">
      <w:pPr>
        <w:tabs>
          <w:tab w:val="left" w:pos="1425"/>
          <w:tab w:val="center" w:pos="4680"/>
        </w:tabs>
        <w:spacing w:after="0" w:line="480" w:lineRule="auto"/>
        <w:rPr>
          <w:rFonts w:ascii="Times New Roman" w:hAnsi="Times New Roman" w:cs="Times New Roman"/>
          <w:b/>
          <w:sz w:val="24"/>
          <w:szCs w:val="24"/>
        </w:rPr>
      </w:pPr>
    </w:p>
    <w:p w:rsidR="00BC59BD" w:rsidRDefault="00BC59BD" w:rsidP="00B05DDC">
      <w:pPr>
        <w:tabs>
          <w:tab w:val="left" w:pos="1425"/>
          <w:tab w:val="center" w:pos="4680"/>
        </w:tabs>
        <w:spacing w:after="0" w:line="480" w:lineRule="auto"/>
        <w:rPr>
          <w:rFonts w:ascii="Times New Roman" w:hAnsi="Times New Roman" w:cs="Times New Roman"/>
          <w:b/>
          <w:sz w:val="24"/>
          <w:szCs w:val="24"/>
        </w:rPr>
      </w:pPr>
    </w:p>
    <w:p w:rsidR="00BC59BD" w:rsidRDefault="00BC59BD" w:rsidP="00B05DDC">
      <w:pPr>
        <w:tabs>
          <w:tab w:val="left" w:pos="1425"/>
          <w:tab w:val="center" w:pos="4680"/>
        </w:tabs>
        <w:spacing w:after="0" w:line="480" w:lineRule="auto"/>
        <w:rPr>
          <w:rFonts w:ascii="Times New Roman" w:hAnsi="Times New Roman" w:cs="Times New Roman"/>
          <w:b/>
          <w:sz w:val="24"/>
          <w:szCs w:val="24"/>
        </w:rPr>
      </w:pPr>
    </w:p>
    <w:p w:rsidR="005E6E5A" w:rsidRPr="00BC59BD" w:rsidRDefault="003F6CD3" w:rsidP="00BC59BD">
      <w:pPr>
        <w:tabs>
          <w:tab w:val="left" w:pos="1425"/>
          <w:tab w:val="center" w:pos="4680"/>
        </w:tabs>
        <w:spacing w:after="0" w:line="480" w:lineRule="auto"/>
        <w:jc w:val="center"/>
        <w:rPr>
          <w:rFonts w:ascii="Times New Roman" w:hAnsi="Times New Roman" w:cs="Times New Roman"/>
          <w:sz w:val="24"/>
          <w:szCs w:val="24"/>
        </w:rPr>
      </w:pPr>
      <w:r w:rsidRPr="00BC59BD">
        <w:rPr>
          <w:rFonts w:ascii="Times New Roman" w:hAnsi="Times New Roman" w:cs="Times New Roman"/>
          <w:sz w:val="24"/>
          <w:szCs w:val="24"/>
        </w:rPr>
        <w:t>Baseline Survey</w:t>
      </w:r>
    </w:p>
    <w:p w:rsidR="00BC59BD" w:rsidRPr="00BC59BD" w:rsidRDefault="00BC59BD" w:rsidP="00BC59BD">
      <w:pPr>
        <w:tabs>
          <w:tab w:val="left" w:pos="1425"/>
          <w:tab w:val="center" w:pos="4680"/>
        </w:tabs>
        <w:spacing w:after="0" w:line="480" w:lineRule="auto"/>
        <w:jc w:val="center"/>
        <w:rPr>
          <w:rFonts w:ascii="Times New Roman" w:hAnsi="Times New Roman" w:cs="Times New Roman"/>
          <w:sz w:val="24"/>
          <w:szCs w:val="24"/>
        </w:rPr>
      </w:pPr>
      <w:r w:rsidRPr="00BC59BD">
        <w:rPr>
          <w:rFonts w:ascii="Times New Roman" w:hAnsi="Times New Roman" w:cs="Times New Roman"/>
          <w:sz w:val="24"/>
          <w:szCs w:val="24"/>
        </w:rPr>
        <w:t>Student’s Name</w:t>
      </w:r>
    </w:p>
    <w:p w:rsidR="00BC59BD" w:rsidRPr="00BC59BD" w:rsidRDefault="00BC59BD" w:rsidP="00BC59BD">
      <w:pPr>
        <w:tabs>
          <w:tab w:val="left" w:pos="1425"/>
          <w:tab w:val="center" w:pos="4680"/>
        </w:tabs>
        <w:spacing w:after="0" w:line="480" w:lineRule="auto"/>
        <w:jc w:val="center"/>
        <w:rPr>
          <w:rFonts w:ascii="Times New Roman" w:hAnsi="Times New Roman" w:cs="Times New Roman"/>
          <w:sz w:val="24"/>
          <w:szCs w:val="24"/>
        </w:rPr>
      </w:pPr>
      <w:r w:rsidRPr="00BC59BD">
        <w:rPr>
          <w:rFonts w:ascii="Times New Roman" w:hAnsi="Times New Roman" w:cs="Times New Roman"/>
          <w:sz w:val="24"/>
          <w:szCs w:val="24"/>
        </w:rPr>
        <w:t>Institutional Affiliation</w:t>
      </w:r>
    </w:p>
    <w:p w:rsidR="005E6E5A" w:rsidRPr="00B05DDC" w:rsidRDefault="005E6E5A" w:rsidP="00B05DDC">
      <w:pPr>
        <w:spacing w:after="0" w:line="480" w:lineRule="auto"/>
        <w:jc w:val="center"/>
        <w:rPr>
          <w:rFonts w:ascii="Times New Roman" w:hAnsi="Times New Roman" w:cs="Times New Roman"/>
          <w:b/>
          <w:sz w:val="24"/>
          <w:szCs w:val="24"/>
        </w:rPr>
      </w:pPr>
    </w:p>
    <w:p w:rsidR="005E6E5A" w:rsidRPr="00B05DDC" w:rsidRDefault="005E6E5A" w:rsidP="00B05DDC">
      <w:pPr>
        <w:spacing w:after="0" w:line="480" w:lineRule="auto"/>
        <w:jc w:val="center"/>
        <w:rPr>
          <w:rFonts w:ascii="Times New Roman" w:hAnsi="Times New Roman" w:cs="Times New Roman"/>
          <w:b/>
          <w:sz w:val="24"/>
          <w:szCs w:val="24"/>
        </w:rPr>
      </w:pPr>
    </w:p>
    <w:p w:rsidR="005E6E5A" w:rsidRPr="00B05DDC" w:rsidRDefault="005E6E5A" w:rsidP="00B05DDC">
      <w:pPr>
        <w:spacing w:after="0" w:line="480" w:lineRule="auto"/>
        <w:jc w:val="center"/>
        <w:rPr>
          <w:rFonts w:ascii="Times New Roman" w:hAnsi="Times New Roman" w:cs="Times New Roman"/>
          <w:b/>
          <w:sz w:val="24"/>
          <w:szCs w:val="24"/>
        </w:rPr>
      </w:pPr>
    </w:p>
    <w:p w:rsidR="005E6E5A" w:rsidRPr="00B05DDC" w:rsidRDefault="005E6E5A" w:rsidP="00B05DDC">
      <w:pPr>
        <w:spacing w:after="0" w:line="480" w:lineRule="auto"/>
        <w:jc w:val="center"/>
        <w:rPr>
          <w:rFonts w:ascii="Times New Roman" w:hAnsi="Times New Roman" w:cs="Times New Roman"/>
          <w:b/>
          <w:sz w:val="24"/>
          <w:szCs w:val="24"/>
        </w:rPr>
      </w:pPr>
    </w:p>
    <w:p w:rsidR="005E6E5A" w:rsidRPr="00B05DDC" w:rsidRDefault="003F6CD3" w:rsidP="00B05DDC">
      <w:pPr>
        <w:spacing w:after="0" w:line="480" w:lineRule="auto"/>
        <w:rPr>
          <w:rFonts w:ascii="Times New Roman" w:hAnsi="Times New Roman" w:cs="Times New Roman"/>
          <w:sz w:val="24"/>
          <w:szCs w:val="24"/>
        </w:rPr>
      </w:pPr>
      <w:r w:rsidRPr="00B05DDC">
        <w:rPr>
          <w:rFonts w:ascii="Times New Roman" w:hAnsi="Times New Roman" w:cs="Times New Roman"/>
          <w:sz w:val="24"/>
          <w:szCs w:val="24"/>
        </w:rPr>
        <w:br w:type="page"/>
      </w:r>
      <w:bookmarkStart w:id="0" w:name="_GoBack"/>
      <w:bookmarkEnd w:id="0"/>
    </w:p>
    <w:p w:rsidR="005E6E5A" w:rsidRPr="00B05DDC" w:rsidRDefault="003F6CD3" w:rsidP="00B05DDC">
      <w:pPr>
        <w:spacing w:after="0" w:line="480" w:lineRule="auto"/>
        <w:jc w:val="center"/>
        <w:rPr>
          <w:rFonts w:ascii="Times New Roman" w:hAnsi="Times New Roman" w:cs="Times New Roman"/>
          <w:b/>
          <w:sz w:val="24"/>
          <w:szCs w:val="24"/>
        </w:rPr>
      </w:pPr>
      <w:r w:rsidRPr="00B05DDC">
        <w:rPr>
          <w:rFonts w:ascii="Times New Roman" w:hAnsi="Times New Roman" w:cs="Times New Roman"/>
          <w:b/>
          <w:sz w:val="24"/>
          <w:szCs w:val="24"/>
        </w:rPr>
        <w:lastRenderedPageBreak/>
        <w:t>Baseline Survey</w:t>
      </w:r>
    </w:p>
    <w:p w:rsidR="005E6E5A" w:rsidRPr="00B05DDC" w:rsidRDefault="003F6CD3" w:rsidP="00B05DDC">
      <w:pPr>
        <w:numPr>
          <w:ilvl w:val="0"/>
          <w:numId w:val="1"/>
        </w:numPr>
        <w:spacing w:after="0" w:line="480" w:lineRule="auto"/>
        <w:ind w:left="0"/>
        <w:jc w:val="center"/>
        <w:rPr>
          <w:rFonts w:ascii="Times New Roman" w:eastAsia="Times New Roman" w:hAnsi="Times New Roman" w:cs="Times New Roman"/>
          <w:b/>
          <w:sz w:val="24"/>
          <w:szCs w:val="24"/>
        </w:rPr>
      </w:pPr>
      <w:r w:rsidRPr="00B05DDC">
        <w:rPr>
          <w:rFonts w:ascii="Times New Roman" w:eastAsia="Times New Roman" w:hAnsi="Times New Roman" w:cs="Times New Roman"/>
          <w:b/>
          <w:sz w:val="24"/>
          <w:szCs w:val="24"/>
        </w:rPr>
        <w:t>What does it mean to be literate in the 21</w:t>
      </w:r>
      <w:r w:rsidRPr="00B05DDC">
        <w:rPr>
          <w:rFonts w:ascii="Times New Roman" w:eastAsia="Times New Roman" w:hAnsi="Times New Roman" w:cs="Times New Roman"/>
          <w:b/>
          <w:sz w:val="24"/>
          <w:szCs w:val="24"/>
          <w:vertAlign w:val="superscript"/>
        </w:rPr>
        <w:t>st</w:t>
      </w:r>
      <w:r w:rsidRPr="00B05DDC">
        <w:rPr>
          <w:rFonts w:ascii="Times New Roman" w:eastAsia="Times New Roman" w:hAnsi="Times New Roman" w:cs="Times New Roman"/>
          <w:b/>
          <w:sz w:val="24"/>
          <w:szCs w:val="24"/>
        </w:rPr>
        <w:t> century?</w:t>
      </w:r>
    </w:p>
    <w:p w:rsidR="005E6E5A" w:rsidRPr="00B05DDC" w:rsidRDefault="003F6CD3" w:rsidP="00B05DDC">
      <w:pPr>
        <w:spacing w:after="0" w:line="480" w:lineRule="auto"/>
        <w:ind w:firstLine="720"/>
        <w:rPr>
          <w:rFonts w:ascii="Times New Roman" w:hAnsi="Times New Roman" w:cs="Times New Roman"/>
          <w:sz w:val="24"/>
          <w:szCs w:val="24"/>
        </w:rPr>
      </w:pPr>
      <w:r w:rsidRPr="00B05DDC">
        <w:rPr>
          <w:rFonts w:ascii="Times New Roman" w:eastAsia="Times New Roman" w:hAnsi="Times New Roman" w:cs="Times New Roman"/>
          <w:sz w:val="24"/>
          <w:szCs w:val="24"/>
        </w:rPr>
        <w:t xml:space="preserve">According to </w:t>
      </w:r>
      <w:r w:rsidRPr="00B05DDC">
        <w:rPr>
          <w:rFonts w:ascii="Times New Roman" w:hAnsi="Times New Roman" w:cs="Times New Roman"/>
          <w:sz w:val="24"/>
          <w:szCs w:val="24"/>
        </w:rPr>
        <w:t xml:space="preserve">Padmadewi et al. (2018), literacy </w:t>
      </w:r>
      <w:r w:rsidR="008B139C" w:rsidRPr="00B05DDC">
        <w:rPr>
          <w:rFonts w:ascii="Times New Roman" w:hAnsi="Times New Roman" w:cs="Times New Roman"/>
          <w:sz w:val="24"/>
          <w:szCs w:val="24"/>
        </w:rPr>
        <w:t xml:space="preserve">in the twenty-first </w:t>
      </w:r>
      <w:r w:rsidR="00BC4DDC" w:rsidRPr="00B05DDC">
        <w:rPr>
          <w:rFonts w:ascii="Times New Roman" w:hAnsi="Times New Roman" w:cs="Times New Roman"/>
          <w:sz w:val="24"/>
          <w:szCs w:val="24"/>
        </w:rPr>
        <w:t>century</w:t>
      </w:r>
      <w:r w:rsidR="008B139C" w:rsidRPr="00B05DDC">
        <w:rPr>
          <w:rFonts w:ascii="Times New Roman" w:hAnsi="Times New Roman" w:cs="Times New Roman"/>
          <w:sz w:val="24"/>
          <w:szCs w:val="24"/>
        </w:rPr>
        <w:t xml:space="preserve"> </w:t>
      </w:r>
      <w:r w:rsidRPr="00B05DDC">
        <w:rPr>
          <w:rFonts w:ascii="Times New Roman" w:hAnsi="Times New Roman" w:cs="Times New Roman"/>
          <w:sz w:val="24"/>
          <w:szCs w:val="24"/>
        </w:rPr>
        <w:t xml:space="preserve">can be explained differently. Literacy refers to activities </w:t>
      </w:r>
      <w:r w:rsidR="00BC4DDC" w:rsidRPr="00B05DDC">
        <w:rPr>
          <w:rFonts w:ascii="Times New Roman" w:hAnsi="Times New Roman" w:cs="Times New Roman"/>
          <w:sz w:val="24"/>
          <w:szCs w:val="24"/>
        </w:rPr>
        <w:t>that</w:t>
      </w:r>
      <w:r w:rsidRPr="00B05DDC">
        <w:rPr>
          <w:rFonts w:ascii="Times New Roman" w:hAnsi="Times New Roman" w:cs="Times New Roman"/>
          <w:sz w:val="24"/>
          <w:szCs w:val="24"/>
        </w:rPr>
        <w:t xml:space="preserve"> involve reading </w:t>
      </w:r>
      <w:r w:rsidR="00BC4DDC" w:rsidRPr="00B05DDC">
        <w:rPr>
          <w:rFonts w:ascii="Times New Roman" w:hAnsi="Times New Roman" w:cs="Times New Roman"/>
          <w:sz w:val="24"/>
          <w:szCs w:val="24"/>
        </w:rPr>
        <w:t>and</w:t>
      </w:r>
      <w:r w:rsidRPr="00B05DDC">
        <w:rPr>
          <w:rFonts w:ascii="Times New Roman" w:hAnsi="Times New Roman" w:cs="Times New Roman"/>
          <w:sz w:val="24"/>
          <w:szCs w:val="24"/>
        </w:rPr>
        <w:t xml:space="preserve"> writing done by learners concerning the actual world to gain knowledge pertaining</w:t>
      </w:r>
      <w:r w:rsidR="008B139C" w:rsidRPr="00B05DDC">
        <w:rPr>
          <w:rFonts w:ascii="Times New Roman" w:hAnsi="Times New Roman" w:cs="Times New Roman"/>
          <w:sz w:val="24"/>
          <w:szCs w:val="24"/>
        </w:rPr>
        <w:t xml:space="preserve"> to the actual world. Also, it refers to a complex set of items or activities that a student learns so that they can apply with text to participate within the society. P</w:t>
      </w:r>
      <w:r w:rsidR="00BC4DDC" w:rsidRPr="00B05DDC">
        <w:rPr>
          <w:rFonts w:ascii="Times New Roman" w:hAnsi="Times New Roman" w:cs="Times New Roman"/>
          <w:sz w:val="24"/>
          <w:szCs w:val="24"/>
        </w:rPr>
        <w:t>adamadewi also defines literacy</w:t>
      </w:r>
      <w:r w:rsidR="008B139C" w:rsidRPr="00B05DDC">
        <w:rPr>
          <w:rFonts w:ascii="Times New Roman" w:hAnsi="Times New Roman" w:cs="Times New Roman"/>
          <w:sz w:val="24"/>
          <w:szCs w:val="24"/>
        </w:rPr>
        <w:t xml:space="preserve"> as the capability to make meaning </w:t>
      </w:r>
      <w:r w:rsidR="00BC4DDC" w:rsidRPr="00B05DDC">
        <w:rPr>
          <w:rFonts w:ascii="Times New Roman" w:hAnsi="Times New Roman" w:cs="Times New Roman"/>
          <w:sz w:val="24"/>
          <w:szCs w:val="24"/>
        </w:rPr>
        <w:t>through</w:t>
      </w:r>
      <w:r w:rsidR="008B139C" w:rsidRPr="00B05DDC">
        <w:rPr>
          <w:rFonts w:ascii="Times New Roman" w:hAnsi="Times New Roman" w:cs="Times New Roman"/>
          <w:sz w:val="24"/>
          <w:szCs w:val="24"/>
        </w:rPr>
        <w:t xml:space="preserve"> reading </w:t>
      </w:r>
      <w:r w:rsidR="00BC4DDC" w:rsidRPr="00B05DDC">
        <w:rPr>
          <w:rFonts w:ascii="Times New Roman" w:hAnsi="Times New Roman" w:cs="Times New Roman"/>
          <w:sz w:val="24"/>
          <w:szCs w:val="24"/>
        </w:rPr>
        <w:t>and</w:t>
      </w:r>
      <w:r w:rsidR="008B139C" w:rsidRPr="00B05DDC">
        <w:rPr>
          <w:rFonts w:ascii="Times New Roman" w:hAnsi="Times New Roman" w:cs="Times New Roman"/>
          <w:sz w:val="24"/>
          <w:szCs w:val="24"/>
        </w:rPr>
        <w:t xml:space="preserve"> writing. Based on the context of language learning in the twenty-first century, literacy is defined </w:t>
      </w:r>
      <w:r w:rsidR="00BC4DDC" w:rsidRPr="00B05DDC">
        <w:rPr>
          <w:rFonts w:ascii="Times New Roman" w:hAnsi="Times New Roman" w:cs="Times New Roman"/>
          <w:sz w:val="24"/>
          <w:szCs w:val="24"/>
        </w:rPr>
        <w:t>as</w:t>
      </w:r>
      <w:r w:rsidR="008B139C" w:rsidRPr="00B05DDC">
        <w:rPr>
          <w:rFonts w:ascii="Times New Roman" w:hAnsi="Times New Roman" w:cs="Times New Roman"/>
          <w:sz w:val="24"/>
          <w:szCs w:val="24"/>
        </w:rPr>
        <w:t xml:space="preserve"> the capability of reading and writing (Padmadewi et al., 2018).</w:t>
      </w:r>
    </w:p>
    <w:p w:rsidR="008B139C" w:rsidRPr="00B05DDC" w:rsidRDefault="003F6CD3" w:rsidP="00B05DDC">
      <w:pPr>
        <w:pStyle w:val="ListParagraph"/>
        <w:numPr>
          <w:ilvl w:val="0"/>
          <w:numId w:val="1"/>
        </w:numPr>
        <w:spacing w:after="0" w:line="480" w:lineRule="auto"/>
        <w:ind w:left="0"/>
        <w:jc w:val="center"/>
        <w:rPr>
          <w:rFonts w:ascii="Times New Roman" w:eastAsia="Times New Roman" w:hAnsi="Times New Roman" w:cs="Times New Roman"/>
          <w:b/>
          <w:sz w:val="24"/>
          <w:szCs w:val="24"/>
        </w:rPr>
      </w:pPr>
      <w:r w:rsidRPr="00B05DDC">
        <w:rPr>
          <w:rFonts w:ascii="Times New Roman" w:eastAsia="Times New Roman" w:hAnsi="Times New Roman" w:cs="Times New Roman"/>
          <w:b/>
          <w:sz w:val="24"/>
          <w:szCs w:val="24"/>
        </w:rPr>
        <w:t>How can a teacher enhance literacy development in speaking, listening, reading, and writing for students with disabilities?</w:t>
      </w:r>
    </w:p>
    <w:p w:rsidR="002E57DD" w:rsidRPr="00B05DDC" w:rsidRDefault="003F6CD3" w:rsidP="00B05DDC">
      <w:pPr>
        <w:spacing w:after="0" w:line="480" w:lineRule="auto"/>
        <w:ind w:firstLine="720"/>
        <w:rPr>
          <w:rFonts w:ascii="Times New Roman" w:eastAsia="Times New Roman" w:hAnsi="Times New Roman" w:cs="Times New Roman"/>
          <w:sz w:val="24"/>
          <w:szCs w:val="24"/>
        </w:rPr>
      </w:pPr>
      <w:r w:rsidRPr="00B05DDC">
        <w:rPr>
          <w:rFonts w:ascii="Times New Roman" w:eastAsia="Times New Roman" w:hAnsi="Times New Roman" w:cs="Times New Roman"/>
          <w:sz w:val="24"/>
          <w:szCs w:val="24"/>
        </w:rPr>
        <w:t xml:space="preserve">Teachers can </w:t>
      </w:r>
      <w:r w:rsidR="00BC4DDC" w:rsidRPr="00B05DDC">
        <w:rPr>
          <w:rFonts w:ascii="Times New Roman" w:eastAsia="Times New Roman" w:hAnsi="Times New Roman" w:cs="Times New Roman"/>
          <w:sz w:val="24"/>
          <w:szCs w:val="24"/>
        </w:rPr>
        <w:t>enhance</w:t>
      </w:r>
      <w:r w:rsidRPr="00B05DDC">
        <w:rPr>
          <w:rFonts w:ascii="Times New Roman" w:eastAsia="Times New Roman" w:hAnsi="Times New Roman" w:cs="Times New Roman"/>
          <w:sz w:val="24"/>
          <w:szCs w:val="24"/>
        </w:rPr>
        <w:t xml:space="preserve"> literacy development among students with </w:t>
      </w:r>
      <w:r w:rsidR="00BC4DDC" w:rsidRPr="00B05DDC">
        <w:rPr>
          <w:rFonts w:ascii="Times New Roman" w:eastAsia="Times New Roman" w:hAnsi="Times New Roman" w:cs="Times New Roman"/>
          <w:sz w:val="24"/>
          <w:szCs w:val="24"/>
        </w:rPr>
        <w:t xml:space="preserve">disabilities </w:t>
      </w:r>
      <w:r w:rsidRPr="00B05DDC">
        <w:rPr>
          <w:rFonts w:ascii="Times New Roman" w:eastAsia="Times New Roman" w:hAnsi="Times New Roman" w:cs="Times New Roman"/>
          <w:sz w:val="24"/>
          <w:szCs w:val="24"/>
        </w:rPr>
        <w:t xml:space="preserve">through </w:t>
      </w:r>
      <w:r w:rsidR="00BC4DDC" w:rsidRPr="00B05DDC">
        <w:rPr>
          <w:rFonts w:ascii="Times New Roman" w:eastAsia="Times New Roman" w:hAnsi="Times New Roman" w:cs="Times New Roman"/>
          <w:sz w:val="24"/>
          <w:szCs w:val="24"/>
        </w:rPr>
        <w:t>the adaptation</w:t>
      </w:r>
      <w:r w:rsidRPr="00B05DDC">
        <w:rPr>
          <w:rFonts w:ascii="Times New Roman" w:eastAsia="Times New Roman" w:hAnsi="Times New Roman" w:cs="Times New Roman"/>
          <w:sz w:val="24"/>
          <w:szCs w:val="24"/>
        </w:rPr>
        <w:t xml:space="preserve"> of successful educational actions. For instance, if a student has not established oral language, teachers can create </w:t>
      </w:r>
      <w:r w:rsidR="00900362" w:rsidRPr="00B05DDC">
        <w:rPr>
          <w:rFonts w:ascii="Times New Roman" w:eastAsia="Times New Roman" w:hAnsi="Times New Roman" w:cs="Times New Roman"/>
          <w:sz w:val="24"/>
          <w:szCs w:val="24"/>
        </w:rPr>
        <w:t xml:space="preserve">pictogram features. In case a tablet s involved in reading, the tablets should have pictogram diagrams and synthesized </w:t>
      </w:r>
      <w:r w:rsidR="00BC4DDC" w:rsidRPr="00B05DDC">
        <w:rPr>
          <w:rFonts w:ascii="Times New Roman" w:eastAsia="Times New Roman" w:hAnsi="Times New Roman" w:cs="Times New Roman"/>
          <w:sz w:val="24"/>
          <w:szCs w:val="24"/>
        </w:rPr>
        <w:t>voice</w:t>
      </w:r>
      <w:r w:rsidR="00900362" w:rsidRPr="00B05DDC">
        <w:rPr>
          <w:rFonts w:ascii="Times New Roman" w:eastAsia="Times New Roman" w:hAnsi="Times New Roman" w:cs="Times New Roman"/>
          <w:sz w:val="24"/>
          <w:szCs w:val="24"/>
        </w:rPr>
        <w:t xml:space="preserve"> </w:t>
      </w:r>
      <w:r w:rsidR="00BC4DDC" w:rsidRPr="00B05DDC">
        <w:rPr>
          <w:rFonts w:ascii="Times New Roman" w:eastAsia="Times New Roman" w:hAnsi="Times New Roman" w:cs="Times New Roman"/>
          <w:sz w:val="24"/>
          <w:szCs w:val="24"/>
        </w:rPr>
        <w:t>software to</w:t>
      </w:r>
      <w:r w:rsidR="00900362" w:rsidRPr="00B05DDC">
        <w:rPr>
          <w:rFonts w:ascii="Times New Roman" w:eastAsia="Times New Roman" w:hAnsi="Times New Roman" w:cs="Times New Roman"/>
          <w:sz w:val="24"/>
          <w:szCs w:val="24"/>
        </w:rPr>
        <w:t xml:space="preserve"> help them communicate (</w:t>
      </w:r>
      <w:r w:rsidRPr="00B05DDC">
        <w:rPr>
          <w:rFonts w:ascii="Times New Roman" w:eastAsia="Times New Roman" w:hAnsi="Times New Roman" w:cs="Times New Roman"/>
          <w:sz w:val="24"/>
          <w:szCs w:val="24"/>
        </w:rPr>
        <w:t>Duque et al., 2020</w:t>
      </w:r>
      <w:r w:rsidR="00900362" w:rsidRPr="00B05DDC">
        <w:rPr>
          <w:rFonts w:ascii="Times New Roman" w:eastAsia="Times New Roman" w:hAnsi="Times New Roman" w:cs="Times New Roman"/>
          <w:sz w:val="24"/>
          <w:szCs w:val="24"/>
        </w:rPr>
        <w:t xml:space="preserve">). </w:t>
      </w:r>
      <w:r w:rsidR="00BC4DDC" w:rsidRPr="00B05DDC">
        <w:rPr>
          <w:rFonts w:ascii="Times New Roman" w:eastAsia="Times New Roman" w:hAnsi="Times New Roman" w:cs="Times New Roman"/>
          <w:sz w:val="24"/>
          <w:szCs w:val="24"/>
        </w:rPr>
        <w:t>Such</w:t>
      </w:r>
      <w:r w:rsidRPr="00B05DDC">
        <w:rPr>
          <w:rFonts w:ascii="Times New Roman" w:eastAsia="Times New Roman" w:hAnsi="Times New Roman" w:cs="Times New Roman"/>
          <w:sz w:val="24"/>
          <w:szCs w:val="24"/>
        </w:rPr>
        <w:t xml:space="preserve"> </w:t>
      </w:r>
      <w:r w:rsidR="00BC4DDC" w:rsidRPr="00B05DDC">
        <w:rPr>
          <w:rFonts w:ascii="Times New Roman" w:eastAsia="Times New Roman" w:hAnsi="Times New Roman" w:cs="Times New Roman"/>
          <w:sz w:val="24"/>
          <w:szCs w:val="24"/>
        </w:rPr>
        <w:t>will</w:t>
      </w:r>
      <w:r w:rsidRPr="00B05DDC">
        <w:rPr>
          <w:rFonts w:ascii="Times New Roman" w:eastAsia="Times New Roman" w:hAnsi="Times New Roman" w:cs="Times New Roman"/>
          <w:sz w:val="24"/>
          <w:szCs w:val="24"/>
        </w:rPr>
        <w:t xml:space="preserve"> help a student with a disability </w:t>
      </w:r>
      <w:r w:rsidR="00BC4DDC" w:rsidRPr="00B05DDC">
        <w:rPr>
          <w:rFonts w:ascii="Times New Roman" w:eastAsia="Times New Roman" w:hAnsi="Times New Roman" w:cs="Times New Roman"/>
          <w:sz w:val="24"/>
          <w:szCs w:val="24"/>
        </w:rPr>
        <w:t>constantly</w:t>
      </w:r>
      <w:r w:rsidRPr="00B05DDC">
        <w:rPr>
          <w:rFonts w:ascii="Times New Roman" w:eastAsia="Times New Roman" w:hAnsi="Times New Roman" w:cs="Times New Roman"/>
          <w:sz w:val="24"/>
          <w:szCs w:val="24"/>
        </w:rPr>
        <w:t xml:space="preserve"> keep the trail in reading and construct </w:t>
      </w:r>
      <w:r w:rsidR="00BC4DDC" w:rsidRPr="00B05DDC">
        <w:rPr>
          <w:rFonts w:ascii="Times New Roman" w:eastAsia="Times New Roman" w:hAnsi="Times New Roman" w:cs="Times New Roman"/>
          <w:sz w:val="24"/>
          <w:szCs w:val="24"/>
        </w:rPr>
        <w:t>the</w:t>
      </w:r>
      <w:r w:rsidRPr="00B05DDC">
        <w:rPr>
          <w:rFonts w:ascii="Times New Roman" w:eastAsia="Times New Roman" w:hAnsi="Times New Roman" w:cs="Times New Roman"/>
          <w:sz w:val="24"/>
          <w:szCs w:val="24"/>
        </w:rPr>
        <w:t xml:space="preserve"> idea they want to share through talking. Hence, new chances of communicating, sharing ideas and experiences are witnessed. Since students </w:t>
      </w:r>
      <w:r w:rsidR="00BC4DDC" w:rsidRPr="00B05DDC">
        <w:rPr>
          <w:rFonts w:ascii="Times New Roman" w:eastAsia="Times New Roman" w:hAnsi="Times New Roman" w:cs="Times New Roman"/>
          <w:sz w:val="24"/>
          <w:szCs w:val="24"/>
        </w:rPr>
        <w:t>with</w:t>
      </w:r>
      <w:r w:rsidRPr="00B05DDC">
        <w:rPr>
          <w:rFonts w:ascii="Times New Roman" w:eastAsia="Times New Roman" w:hAnsi="Times New Roman" w:cs="Times New Roman"/>
          <w:sz w:val="24"/>
          <w:szCs w:val="24"/>
        </w:rPr>
        <w:t xml:space="preserve"> disabilities require extra help from specialists such as therapists</w:t>
      </w:r>
      <w:r w:rsidR="00BC4DDC" w:rsidRPr="00B05DDC">
        <w:rPr>
          <w:rFonts w:ascii="Times New Roman" w:eastAsia="Times New Roman" w:hAnsi="Times New Roman" w:cs="Times New Roman"/>
          <w:sz w:val="24"/>
          <w:szCs w:val="24"/>
        </w:rPr>
        <w:t>,</w:t>
      </w:r>
      <w:r w:rsidRPr="00B05DDC">
        <w:rPr>
          <w:rFonts w:ascii="Times New Roman" w:eastAsia="Times New Roman" w:hAnsi="Times New Roman" w:cs="Times New Roman"/>
          <w:sz w:val="24"/>
          <w:szCs w:val="24"/>
        </w:rPr>
        <w:t xml:space="preserve"> </w:t>
      </w:r>
      <w:r w:rsidR="00BC4DDC" w:rsidRPr="00B05DDC">
        <w:rPr>
          <w:rFonts w:ascii="Times New Roman" w:eastAsia="Times New Roman" w:hAnsi="Times New Roman" w:cs="Times New Roman"/>
          <w:sz w:val="24"/>
          <w:szCs w:val="24"/>
        </w:rPr>
        <w:t>the</w:t>
      </w:r>
      <w:r w:rsidRPr="00B05DDC">
        <w:rPr>
          <w:rFonts w:ascii="Times New Roman" w:eastAsia="Times New Roman" w:hAnsi="Times New Roman" w:cs="Times New Roman"/>
          <w:sz w:val="24"/>
          <w:szCs w:val="24"/>
        </w:rPr>
        <w:t xml:space="preserve"> sessions should not happen outside the classroom</w:t>
      </w:r>
      <w:r w:rsidR="00BC4DDC" w:rsidRPr="00B05DDC">
        <w:rPr>
          <w:rFonts w:ascii="Times New Roman" w:eastAsia="Times New Roman" w:hAnsi="Times New Roman" w:cs="Times New Roman"/>
          <w:sz w:val="24"/>
          <w:szCs w:val="24"/>
        </w:rPr>
        <w:t>. St</w:t>
      </w:r>
      <w:r w:rsidRPr="00B05DDC">
        <w:rPr>
          <w:rFonts w:ascii="Times New Roman" w:eastAsia="Times New Roman" w:hAnsi="Times New Roman" w:cs="Times New Roman"/>
          <w:sz w:val="24"/>
          <w:szCs w:val="24"/>
        </w:rPr>
        <w:t xml:space="preserve">ill, instead, teachers should invite the </w:t>
      </w:r>
      <w:r w:rsidR="00BC4DDC" w:rsidRPr="00B05DDC">
        <w:rPr>
          <w:rFonts w:ascii="Times New Roman" w:eastAsia="Times New Roman" w:hAnsi="Times New Roman" w:cs="Times New Roman"/>
          <w:sz w:val="24"/>
          <w:szCs w:val="24"/>
        </w:rPr>
        <w:t>therapists</w:t>
      </w:r>
      <w:r w:rsidRPr="00B05DDC">
        <w:rPr>
          <w:rFonts w:ascii="Times New Roman" w:eastAsia="Times New Roman" w:hAnsi="Times New Roman" w:cs="Times New Roman"/>
          <w:sz w:val="24"/>
          <w:szCs w:val="24"/>
        </w:rPr>
        <w:t xml:space="preserve"> in classrooms during interactive groups (Duque et al., 2020). </w:t>
      </w:r>
    </w:p>
    <w:p w:rsidR="002E57DD" w:rsidRPr="00B05DDC" w:rsidRDefault="003F6CD3" w:rsidP="00B05DDC">
      <w:pPr>
        <w:pStyle w:val="ListParagraph"/>
        <w:numPr>
          <w:ilvl w:val="0"/>
          <w:numId w:val="1"/>
        </w:numPr>
        <w:spacing w:after="0" w:line="480" w:lineRule="auto"/>
        <w:ind w:left="0"/>
        <w:jc w:val="center"/>
        <w:rPr>
          <w:rFonts w:ascii="Times New Roman" w:eastAsia="Times New Roman" w:hAnsi="Times New Roman" w:cs="Times New Roman"/>
          <w:b/>
          <w:sz w:val="24"/>
          <w:szCs w:val="24"/>
        </w:rPr>
      </w:pPr>
      <w:r w:rsidRPr="00B05DDC">
        <w:rPr>
          <w:rFonts w:ascii="Times New Roman" w:eastAsia="Times New Roman" w:hAnsi="Times New Roman" w:cs="Times New Roman"/>
          <w:b/>
          <w:sz w:val="24"/>
          <w:szCs w:val="24"/>
        </w:rPr>
        <w:t>What are some challenges to teaching reading to students with disabilities?</w:t>
      </w:r>
    </w:p>
    <w:p w:rsidR="00957560" w:rsidRPr="00B05DDC" w:rsidRDefault="003F6CD3" w:rsidP="00B05DDC">
      <w:pPr>
        <w:spacing w:after="0" w:line="480" w:lineRule="auto"/>
        <w:ind w:firstLine="720"/>
        <w:rPr>
          <w:rFonts w:ascii="Times New Roman" w:eastAsia="Times New Roman" w:hAnsi="Times New Roman" w:cs="Times New Roman"/>
          <w:sz w:val="24"/>
          <w:szCs w:val="24"/>
        </w:rPr>
      </w:pPr>
      <w:r w:rsidRPr="00B05DDC">
        <w:rPr>
          <w:rFonts w:ascii="Times New Roman" w:eastAsia="Times New Roman" w:hAnsi="Times New Roman" w:cs="Times New Roman"/>
          <w:sz w:val="24"/>
          <w:szCs w:val="24"/>
        </w:rPr>
        <w:lastRenderedPageBreak/>
        <w:t xml:space="preserve">One of the challenges in </w:t>
      </w:r>
      <w:r w:rsidR="00BC4DDC" w:rsidRPr="00B05DDC">
        <w:rPr>
          <w:rFonts w:ascii="Times New Roman" w:eastAsia="Times New Roman" w:hAnsi="Times New Roman" w:cs="Times New Roman"/>
          <w:sz w:val="24"/>
          <w:szCs w:val="24"/>
        </w:rPr>
        <w:t>teaching</w:t>
      </w:r>
      <w:r w:rsidRPr="00B05DDC">
        <w:rPr>
          <w:rFonts w:ascii="Times New Roman" w:eastAsia="Times New Roman" w:hAnsi="Times New Roman" w:cs="Times New Roman"/>
          <w:sz w:val="24"/>
          <w:szCs w:val="24"/>
        </w:rPr>
        <w:t xml:space="preserve"> students with disabilities is job burnout. Such happens when the work </w:t>
      </w:r>
      <w:r w:rsidR="00BC4DDC" w:rsidRPr="00B05DDC">
        <w:rPr>
          <w:rFonts w:ascii="Times New Roman" w:eastAsia="Times New Roman" w:hAnsi="Times New Roman" w:cs="Times New Roman"/>
          <w:sz w:val="24"/>
          <w:szCs w:val="24"/>
        </w:rPr>
        <w:t>demand</w:t>
      </w:r>
      <w:r w:rsidRPr="00B05DDC">
        <w:rPr>
          <w:rFonts w:ascii="Times New Roman" w:eastAsia="Times New Roman" w:hAnsi="Times New Roman" w:cs="Times New Roman"/>
          <w:sz w:val="24"/>
          <w:szCs w:val="24"/>
        </w:rPr>
        <w:t xml:space="preserve"> rises without correspondent availability to the required resources. Teaching students with disabilities requires </w:t>
      </w:r>
      <w:r w:rsidR="00BC4DDC" w:rsidRPr="00B05DDC">
        <w:rPr>
          <w:rFonts w:ascii="Times New Roman" w:eastAsia="Times New Roman" w:hAnsi="Times New Roman" w:cs="Times New Roman"/>
          <w:sz w:val="24"/>
          <w:szCs w:val="24"/>
        </w:rPr>
        <w:t>one</w:t>
      </w:r>
      <w:r w:rsidRPr="00B05DDC">
        <w:rPr>
          <w:rFonts w:ascii="Times New Roman" w:eastAsia="Times New Roman" w:hAnsi="Times New Roman" w:cs="Times New Roman"/>
          <w:sz w:val="24"/>
          <w:szCs w:val="24"/>
        </w:rPr>
        <w:t xml:space="preserve"> to have sustained </w:t>
      </w:r>
      <w:r w:rsidR="00BC4DDC" w:rsidRPr="00B05DDC">
        <w:rPr>
          <w:rFonts w:ascii="Times New Roman" w:eastAsia="Times New Roman" w:hAnsi="Times New Roman" w:cs="Times New Roman"/>
          <w:sz w:val="24"/>
          <w:szCs w:val="24"/>
        </w:rPr>
        <w:t xml:space="preserve">mental and </w:t>
      </w:r>
      <w:r w:rsidRPr="00B05DDC">
        <w:rPr>
          <w:rFonts w:ascii="Times New Roman" w:eastAsia="Times New Roman" w:hAnsi="Times New Roman" w:cs="Times New Roman"/>
          <w:sz w:val="24"/>
          <w:szCs w:val="24"/>
        </w:rPr>
        <w:t xml:space="preserve">physical effort. </w:t>
      </w:r>
      <w:r w:rsidR="00BC4DDC" w:rsidRPr="00B05DDC">
        <w:rPr>
          <w:rFonts w:ascii="Times New Roman" w:eastAsia="Times New Roman" w:hAnsi="Times New Roman" w:cs="Times New Roman"/>
          <w:sz w:val="24"/>
          <w:szCs w:val="24"/>
        </w:rPr>
        <w:t xml:space="preserve">The cause of job burnout among teachers is planning for the lessons, creating reading materials, and engaging with parents and other colleagues. Another challenge is that </w:t>
      </w:r>
      <w:r w:rsidR="001F4B74" w:rsidRPr="00B05DDC">
        <w:rPr>
          <w:rFonts w:ascii="Times New Roman" w:eastAsia="Times New Roman" w:hAnsi="Times New Roman" w:cs="Times New Roman"/>
          <w:sz w:val="24"/>
          <w:szCs w:val="24"/>
        </w:rPr>
        <w:t>teachers</w:t>
      </w:r>
      <w:r w:rsidR="00BC4DDC" w:rsidRPr="00B05DDC">
        <w:rPr>
          <w:rFonts w:ascii="Times New Roman" w:eastAsia="Times New Roman" w:hAnsi="Times New Roman" w:cs="Times New Roman"/>
          <w:sz w:val="24"/>
          <w:szCs w:val="24"/>
        </w:rPr>
        <w:t xml:space="preserve">, especially </w:t>
      </w:r>
      <w:r w:rsidR="001F4B74" w:rsidRPr="00B05DDC">
        <w:rPr>
          <w:rFonts w:ascii="Times New Roman" w:eastAsia="Times New Roman" w:hAnsi="Times New Roman" w:cs="Times New Roman"/>
          <w:sz w:val="24"/>
          <w:szCs w:val="24"/>
        </w:rPr>
        <w:t>general</w:t>
      </w:r>
      <w:r w:rsidR="00BC4DDC" w:rsidRPr="00B05DDC">
        <w:rPr>
          <w:rFonts w:ascii="Times New Roman" w:eastAsia="Times New Roman" w:hAnsi="Times New Roman" w:cs="Times New Roman"/>
          <w:sz w:val="24"/>
          <w:szCs w:val="24"/>
        </w:rPr>
        <w:t xml:space="preserve"> education teachers, are required to give </w:t>
      </w:r>
      <w:r w:rsidR="001F4B74" w:rsidRPr="00B05DDC">
        <w:rPr>
          <w:rFonts w:ascii="Times New Roman" w:eastAsia="Times New Roman" w:hAnsi="Times New Roman" w:cs="Times New Roman"/>
          <w:sz w:val="24"/>
          <w:szCs w:val="24"/>
        </w:rPr>
        <w:t>instructions</w:t>
      </w:r>
      <w:r w:rsidR="00BC4DDC" w:rsidRPr="00B05DDC">
        <w:rPr>
          <w:rFonts w:ascii="Times New Roman" w:eastAsia="Times New Roman" w:hAnsi="Times New Roman" w:cs="Times New Roman"/>
          <w:sz w:val="24"/>
          <w:szCs w:val="24"/>
        </w:rPr>
        <w:t xml:space="preserve"> to students with </w:t>
      </w:r>
      <w:r w:rsidR="001F4B74" w:rsidRPr="00B05DDC">
        <w:rPr>
          <w:rFonts w:ascii="Times New Roman" w:eastAsia="Times New Roman" w:hAnsi="Times New Roman" w:cs="Times New Roman"/>
          <w:sz w:val="24"/>
          <w:szCs w:val="24"/>
        </w:rPr>
        <w:t>disabilities</w:t>
      </w:r>
      <w:r w:rsidR="00BC4DDC" w:rsidRPr="00B05DDC">
        <w:rPr>
          <w:rFonts w:ascii="Times New Roman" w:eastAsia="Times New Roman" w:hAnsi="Times New Roman" w:cs="Times New Roman"/>
          <w:sz w:val="24"/>
          <w:szCs w:val="24"/>
        </w:rPr>
        <w:t xml:space="preserve">, and some may be unprepared to meet the </w:t>
      </w:r>
      <w:r w:rsidR="001F4B74" w:rsidRPr="00B05DDC">
        <w:rPr>
          <w:rFonts w:ascii="Times New Roman" w:eastAsia="Times New Roman" w:hAnsi="Times New Roman" w:cs="Times New Roman"/>
          <w:sz w:val="24"/>
          <w:szCs w:val="24"/>
        </w:rPr>
        <w:t>learners’</w:t>
      </w:r>
      <w:r w:rsidR="00BC4DDC" w:rsidRPr="00B05DDC">
        <w:rPr>
          <w:rFonts w:ascii="Times New Roman" w:eastAsia="Times New Roman" w:hAnsi="Times New Roman" w:cs="Times New Roman"/>
          <w:sz w:val="24"/>
          <w:szCs w:val="24"/>
        </w:rPr>
        <w:t xml:space="preserve"> needs. Such can </w:t>
      </w:r>
      <w:r w:rsidR="001F4B74" w:rsidRPr="00B05DDC">
        <w:rPr>
          <w:rFonts w:ascii="Times New Roman" w:eastAsia="Times New Roman" w:hAnsi="Times New Roman" w:cs="Times New Roman"/>
          <w:sz w:val="24"/>
          <w:szCs w:val="24"/>
        </w:rPr>
        <w:t>be</w:t>
      </w:r>
      <w:r w:rsidR="00BC4DDC" w:rsidRPr="00B05DDC">
        <w:rPr>
          <w:rFonts w:ascii="Times New Roman" w:eastAsia="Times New Roman" w:hAnsi="Times New Roman" w:cs="Times New Roman"/>
          <w:sz w:val="24"/>
          <w:szCs w:val="24"/>
        </w:rPr>
        <w:t xml:space="preserve"> due to </w:t>
      </w:r>
      <w:r w:rsidR="003267A6" w:rsidRPr="00B05DDC">
        <w:rPr>
          <w:rFonts w:ascii="Times New Roman" w:eastAsia="Times New Roman" w:hAnsi="Times New Roman" w:cs="Times New Roman"/>
          <w:sz w:val="24"/>
          <w:szCs w:val="24"/>
        </w:rPr>
        <w:t>students exhibiting emotional and behavioral disorders. An example is students with autism (Gilmour et al., 2020).</w:t>
      </w:r>
    </w:p>
    <w:p w:rsidR="00957560" w:rsidRPr="00B05DDC" w:rsidRDefault="003F6CD3" w:rsidP="00B05DDC">
      <w:pPr>
        <w:pStyle w:val="ListParagraph"/>
        <w:numPr>
          <w:ilvl w:val="0"/>
          <w:numId w:val="1"/>
        </w:numPr>
        <w:spacing w:after="0" w:line="480" w:lineRule="auto"/>
        <w:ind w:left="0"/>
        <w:jc w:val="center"/>
        <w:rPr>
          <w:rFonts w:ascii="Times New Roman" w:hAnsi="Times New Roman" w:cs="Times New Roman"/>
          <w:b/>
          <w:sz w:val="24"/>
          <w:szCs w:val="24"/>
        </w:rPr>
      </w:pPr>
      <w:r w:rsidRPr="00B05DDC">
        <w:rPr>
          <w:rFonts w:ascii="Times New Roman" w:hAnsi="Times New Roman" w:cs="Times New Roman"/>
          <w:b/>
          <w:sz w:val="24"/>
          <w:szCs w:val="24"/>
        </w:rPr>
        <w:t>How can we assess students’ reading skills through standardized and alternative assessments?</w:t>
      </w:r>
    </w:p>
    <w:p w:rsidR="001F4B74" w:rsidRPr="00B05DDC" w:rsidRDefault="003F6CD3" w:rsidP="00B05DDC">
      <w:pPr>
        <w:spacing w:after="0" w:line="480" w:lineRule="auto"/>
        <w:ind w:firstLine="720"/>
        <w:rPr>
          <w:rFonts w:ascii="Times New Roman" w:hAnsi="Times New Roman" w:cs="Times New Roman"/>
          <w:sz w:val="24"/>
          <w:szCs w:val="24"/>
        </w:rPr>
      </w:pPr>
      <w:r w:rsidRPr="00B05DDC">
        <w:rPr>
          <w:rFonts w:ascii="Times New Roman" w:hAnsi="Times New Roman" w:cs="Times New Roman"/>
          <w:sz w:val="24"/>
          <w:szCs w:val="24"/>
        </w:rPr>
        <w:t xml:space="preserve">Teachers employ different assessing styles to measure students’ reading ability. Administration of quizzes, examinations, and homework and peer assessment are </w:t>
      </w:r>
      <w:r w:rsidR="00BC59BD">
        <w:rPr>
          <w:rFonts w:ascii="Times New Roman" w:hAnsi="Times New Roman" w:cs="Times New Roman"/>
          <w:sz w:val="24"/>
          <w:szCs w:val="24"/>
        </w:rPr>
        <w:t>some of the assessing methods</w:t>
      </w:r>
      <w:r w:rsidRPr="00B05DDC">
        <w:rPr>
          <w:rFonts w:ascii="Times New Roman" w:hAnsi="Times New Roman" w:cs="Times New Roman"/>
          <w:sz w:val="24"/>
          <w:szCs w:val="24"/>
        </w:rPr>
        <w:t xml:space="preserve">. Exams and quizzes are used to measure how the student can comprehend and understand the question. Good reading skills can help a student comprehend the text in question easily.  Exam and quizzes answers are examined so that an evaluation can be made in question challenges and learners’ misconceptions. According to Börner et al. (2019), teachers using peer assessment use rubrics to create a platform that visualizes the evaluation process. </w:t>
      </w:r>
    </w:p>
    <w:p w:rsidR="001F4B74" w:rsidRPr="00B05DDC" w:rsidRDefault="003F6CD3" w:rsidP="00B05DDC">
      <w:pPr>
        <w:pStyle w:val="ListParagraph"/>
        <w:numPr>
          <w:ilvl w:val="0"/>
          <w:numId w:val="1"/>
        </w:numPr>
        <w:spacing w:after="0" w:line="480" w:lineRule="auto"/>
        <w:ind w:left="0"/>
        <w:jc w:val="center"/>
        <w:rPr>
          <w:rFonts w:ascii="Times New Roman" w:hAnsi="Times New Roman" w:cs="Times New Roman"/>
          <w:b/>
          <w:sz w:val="24"/>
          <w:szCs w:val="24"/>
        </w:rPr>
      </w:pPr>
      <w:r w:rsidRPr="00B05DDC">
        <w:rPr>
          <w:rFonts w:ascii="Times New Roman" w:hAnsi="Times New Roman" w:cs="Times New Roman"/>
          <w:b/>
          <w:sz w:val="24"/>
          <w:szCs w:val="24"/>
        </w:rPr>
        <w:t>How can teachers motivate and engage students with learning disabilities to read?</w:t>
      </w:r>
    </w:p>
    <w:p w:rsidR="004F0CEC" w:rsidRPr="00B05DDC" w:rsidRDefault="003F6CD3" w:rsidP="00B05DDC">
      <w:pPr>
        <w:spacing w:after="0" w:line="480" w:lineRule="auto"/>
        <w:ind w:firstLine="720"/>
        <w:rPr>
          <w:rFonts w:ascii="Times New Roman" w:hAnsi="Times New Roman" w:cs="Times New Roman"/>
          <w:sz w:val="24"/>
          <w:szCs w:val="24"/>
        </w:rPr>
      </w:pPr>
      <w:r w:rsidRPr="00B05DDC">
        <w:rPr>
          <w:rFonts w:ascii="Times New Roman" w:hAnsi="Times New Roman" w:cs="Times New Roman"/>
          <w:sz w:val="24"/>
          <w:szCs w:val="24"/>
        </w:rPr>
        <w:t xml:space="preserve">Learning can become difficult for students with disabilities. The disability can manifest itself through difficulty in hearing, seeing, mental retardation, and movement disability (Beckmann et al., 2018). During learning, such students face many challenges due to their paradoxical needs, and such can inhibit their learning process. Despite their disability, the students can exhibit unique talents that can encourage them to develop more interest in reading </w:t>
      </w:r>
      <w:r w:rsidRPr="00B05DDC">
        <w:rPr>
          <w:rFonts w:ascii="Times New Roman" w:hAnsi="Times New Roman" w:cs="Times New Roman"/>
          <w:sz w:val="24"/>
          <w:szCs w:val="24"/>
        </w:rPr>
        <w:lastRenderedPageBreak/>
        <w:t>when embraced by the learning environment. Teachers can encourage disabled students to explore their gifts while still providing support in tackling their learning struggles (Beckmann et al., 2018)</w:t>
      </w:r>
    </w:p>
    <w:p w:rsidR="004F0CEC" w:rsidRPr="00B05DDC" w:rsidRDefault="003F6CD3" w:rsidP="00B05DDC">
      <w:pPr>
        <w:spacing w:line="480" w:lineRule="auto"/>
        <w:rPr>
          <w:rFonts w:ascii="Times New Roman" w:hAnsi="Times New Roman" w:cs="Times New Roman"/>
          <w:sz w:val="24"/>
          <w:szCs w:val="24"/>
        </w:rPr>
      </w:pPr>
      <w:r w:rsidRPr="00B05DDC">
        <w:rPr>
          <w:rFonts w:ascii="Times New Roman" w:hAnsi="Times New Roman" w:cs="Times New Roman"/>
          <w:sz w:val="24"/>
          <w:szCs w:val="24"/>
        </w:rPr>
        <w:br w:type="page"/>
      </w:r>
    </w:p>
    <w:p w:rsidR="001F4B74" w:rsidRPr="00B05DDC" w:rsidRDefault="003F6CD3" w:rsidP="00B05DDC">
      <w:pPr>
        <w:spacing w:line="480" w:lineRule="auto"/>
        <w:ind w:firstLine="720"/>
        <w:jc w:val="center"/>
        <w:rPr>
          <w:rFonts w:ascii="Times New Roman" w:hAnsi="Times New Roman" w:cs="Times New Roman"/>
          <w:b/>
          <w:sz w:val="24"/>
          <w:szCs w:val="24"/>
        </w:rPr>
      </w:pPr>
      <w:r w:rsidRPr="00B05DDC">
        <w:rPr>
          <w:rFonts w:ascii="Times New Roman" w:hAnsi="Times New Roman" w:cs="Times New Roman"/>
          <w:b/>
          <w:sz w:val="24"/>
          <w:szCs w:val="24"/>
        </w:rPr>
        <w:lastRenderedPageBreak/>
        <w:t>References</w:t>
      </w:r>
    </w:p>
    <w:p w:rsidR="004F0CEC" w:rsidRPr="00B05DDC" w:rsidRDefault="003F6CD3" w:rsidP="00B05DDC">
      <w:pPr>
        <w:spacing w:after="0" w:line="480" w:lineRule="auto"/>
        <w:ind w:left="720" w:hanging="720"/>
        <w:rPr>
          <w:rFonts w:ascii="Times New Roman" w:hAnsi="Times New Roman" w:cs="Times New Roman"/>
          <w:sz w:val="24"/>
          <w:szCs w:val="24"/>
        </w:rPr>
      </w:pPr>
      <w:r w:rsidRPr="00B05DDC">
        <w:rPr>
          <w:rFonts w:ascii="Times New Roman" w:hAnsi="Times New Roman" w:cs="Times New Roman"/>
          <w:sz w:val="24"/>
          <w:szCs w:val="24"/>
        </w:rPr>
        <w:t>Beckmann, E., &amp; Minnaert, A. (2018). Non-cognitive characteristics of gifted students with learning disabilities: An in-depth systematic review. </w:t>
      </w:r>
      <w:r w:rsidRPr="00B05DDC">
        <w:rPr>
          <w:rFonts w:ascii="Times New Roman" w:hAnsi="Times New Roman" w:cs="Times New Roman"/>
          <w:i/>
          <w:iCs/>
          <w:sz w:val="24"/>
          <w:szCs w:val="24"/>
        </w:rPr>
        <w:t>Frontiers in Psychology</w:t>
      </w:r>
      <w:r w:rsidRPr="00B05DDC">
        <w:rPr>
          <w:rFonts w:ascii="Times New Roman" w:hAnsi="Times New Roman" w:cs="Times New Roman"/>
          <w:sz w:val="24"/>
          <w:szCs w:val="24"/>
        </w:rPr>
        <w:t>, </w:t>
      </w:r>
      <w:r w:rsidRPr="00B05DDC">
        <w:rPr>
          <w:rFonts w:ascii="Times New Roman" w:hAnsi="Times New Roman" w:cs="Times New Roman"/>
          <w:i/>
          <w:iCs/>
          <w:sz w:val="24"/>
          <w:szCs w:val="24"/>
        </w:rPr>
        <w:t>9</w:t>
      </w:r>
      <w:r w:rsidRPr="00B05DDC">
        <w:rPr>
          <w:rFonts w:ascii="Times New Roman" w:hAnsi="Times New Roman" w:cs="Times New Roman"/>
          <w:sz w:val="24"/>
          <w:szCs w:val="24"/>
        </w:rPr>
        <w:t>, 504.</w:t>
      </w:r>
    </w:p>
    <w:p w:rsidR="004F0CEC" w:rsidRPr="00B05DDC" w:rsidRDefault="003F6CD3" w:rsidP="00B05DDC">
      <w:pPr>
        <w:spacing w:after="0" w:line="480" w:lineRule="auto"/>
        <w:ind w:left="720" w:hanging="720"/>
        <w:rPr>
          <w:rFonts w:ascii="Times New Roman" w:hAnsi="Times New Roman" w:cs="Times New Roman"/>
          <w:sz w:val="24"/>
          <w:szCs w:val="24"/>
        </w:rPr>
      </w:pPr>
      <w:r w:rsidRPr="00B05DDC">
        <w:rPr>
          <w:rFonts w:ascii="Times New Roman" w:hAnsi="Times New Roman" w:cs="Times New Roman"/>
          <w:sz w:val="24"/>
          <w:szCs w:val="24"/>
        </w:rPr>
        <w:t>Börner, K., Bueckle, A., &amp; Ginda, M. (2019). Data visualization literacy: Definitions, conceptual frameworks, exercises, and assessments. </w:t>
      </w:r>
      <w:r w:rsidRPr="00B05DDC">
        <w:rPr>
          <w:rFonts w:ascii="Times New Roman" w:hAnsi="Times New Roman" w:cs="Times New Roman"/>
          <w:i/>
          <w:iCs/>
          <w:sz w:val="24"/>
          <w:szCs w:val="24"/>
        </w:rPr>
        <w:t>Proceedings of the National Academy of Sciences</w:t>
      </w:r>
      <w:r w:rsidRPr="00B05DDC">
        <w:rPr>
          <w:rFonts w:ascii="Times New Roman" w:hAnsi="Times New Roman" w:cs="Times New Roman"/>
          <w:sz w:val="24"/>
          <w:szCs w:val="24"/>
        </w:rPr>
        <w:t>, </w:t>
      </w:r>
      <w:r w:rsidRPr="00B05DDC">
        <w:rPr>
          <w:rFonts w:ascii="Times New Roman" w:hAnsi="Times New Roman" w:cs="Times New Roman"/>
          <w:i/>
          <w:iCs/>
          <w:sz w:val="24"/>
          <w:szCs w:val="24"/>
        </w:rPr>
        <w:t>116</w:t>
      </w:r>
      <w:r w:rsidRPr="00B05DDC">
        <w:rPr>
          <w:rFonts w:ascii="Times New Roman" w:hAnsi="Times New Roman" w:cs="Times New Roman"/>
          <w:sz w:val="24"/>
          <w:szCs w:val="24"/>
        </w:rPr>
        <w:t>(6), 1857-1864.</w:t>
      </w:r>
    </w:p>
    <w:p w:rsidR="004F0CEC" w:rsidRPr="00B05DDC" w:rsidRDefault="003F6CD3" w:rsidP="00B05DDC">
      <w:pPr>
        <w:spacing w:after="0" w:line="480" w:lineRule="auto"/>
        <w:ind w:left="720" w:hanging="720"/>
        <w:rPr>
          <w:rFonts w:ascii="Times New Roman" w:hAnsi="Times New Roman" w:cs="Times New Roman"/>
          <w:sz w:val="24"/>
          <w:szCs w:val="24"/>
        </w:rPr>
      </w:pPr>
      <w:r w:rsidRPr="00B05DDC">
        <w:rPr>
          <w:rFonts w:ascii="Times New Roman" w:hAnsi="Times New Roman" w:cs="Times New Roman"/>
          <w:sz w:val="24"/>
          <w:szCs w:val="24"/>
        </w:rPr>
        <w:t>Duque, E., Gairal, R., Molina, S., &amp; Roca, E. (2020). How the psychology of education contributes to research with a social impact on the education of students with special needs: the case of successful educational actions. </w:t>
      </w:r>
      <w:r w:rsidRPr="00B05DDC">
        <w:rPr>
          <w:rFonts w:ascii="Times New Roman" w:hAnsi="Times New Roman" w:cs="Times New Roman"/>
          <w:i/>
          <w:iCs/>
          <w:sz w:val="24"/>
          <w:szCs w:val="24"/>
        </w:rPr>
        <w:t>Frontiers in psychology</w:t>
      </w:r>
      <w:r w:rsidRPr="00B05DDC">
        <w:rPr>
          <w:rFonts w:ascii="Times New Roman" w:hAnsi="Times New Roman" w:cs="Times New Roman"/>
          <w:sz w:val="24"/>
          <w:szCs w:val="24"/>
        </w:rPr>
        <w:t>, </w:t>
      </w:r>
      <w:r w:rsidRPr="00B05DDC">
        <w:rPr>
          <w:rFonts w:ascii="Times New Roman" w:hAnsi="Times New Roman" w:cs="Times New Roman"/>
          <w:i/>
          <w:iCs/>
          <w:sz w:val="24"/>
          <w:szCs w:val="24"/>
        </w:rPr>
        <w:t>11</w:t>
      </w:r>
      <w:r w:rsidRPr="00B05DDC">
        <w:rPr>
          <w:rFonts w:ascii="Times New Roman" w:hAnsi="Times New Roman" w:cs="Times New Roman"/>
          <w:sz w:val="24"/>
          <w:szCs w:val="24"/>
        </w:rPr>
        <w:t>, 439.</w:t>
      </w:r>
    </w:p>
    <w:p w:rsidR="004F0CEC" w:rsidRPr="00B05DDC" w:rsidRDefault="003F6CD3" w:rsidP="00B05DDC">
      <w:pPr>
        <w:spacing w:after="0" w:line="480" w:lineRule="auto"/>
        <w:ind w:left="720" w:hanging="720"/>
        <w:rPr>
          <w:rFonts w:ascii="Times New Roman" w:hAnsi="Times New Roman" w:cs="Times New Roman"/>
          <w:sz w:val="24"/>
          <w:szCs w:val="24"/>
        </w:rPr>
      </w:pPr>
      <w:r w:rsidRPr="00B05DDC">
        <w:rPr>
          <w:rFonts w:ascii="Times New Roman" w:hAnsi="Times New Roman" w:cs="Times New Roman"/>
          <w:sz w:val="24"/>
          <w:szCs w:val="24"/>
        </w:rPr>
        <w:t>Gilmour, A. F., &amp; Wehby, J. H. (2020). The association between teaching students with disabilities and teacher turnover. </w:t>
      </w:r>
      <w:r w:rsidRPr="00B05DDC">
        <w:rPr>
          <w:rFonts w:ascii="Times New Roman" w:hAnsi="Times New Roman" w:cs="Times New Roman"/>
          <w:i/>
          <w:iCs/>
          <w:sz w:val="24"/>
          <w:szCs w:val="24"/>
        </w:rPr>
        <w:t>Journal of Educational Psychology</w:t>
      </w:r>
      <w:r w:rsidRPr="00B05DDC">
        <w:rPr>
          <w:rFonts w:ascii="Times New Roman" w:hAnsi="Times New Roman" w:cs="Times New Roman"/>
          <w:sz w:val="24"/>
          <w:szCs w:val="24"/>
        </w:rPr>
        <w:t>, </w:t>
      </w:r>
      <w:r w:rsidRPr="00B05DDC">
        <w:rPr>
          <w:rFonts w:ascii="Times New Roman" w:hAnsi="Times New Roman" w:cs="Times New Roman"/>
          <w:i/>
          <w:iCs/>
          <w:sz w:val="24"/>
          <w:szCs w:val="24"/>
        </w:rPr>
        <w:t>112</w:t>
      </w:r>
      <w:r w:rsidRPr="00B05DDC">
        <w:rPr>
          <w:rFonts w:ascii="Times New Roman" w:hAnsi="Times New Roman" w:cs="Times New Roman"/>
          <w:sz w:val="24"/>
          <w:szCs w:val="24"/>
        </w:rPr>
        <w:t>(5), 1042.</w:t>
      </w:r>
    </w:p>
    <w:p w:rsidR="004F0CEC" w:rsidRPr="00B05DDC" w:rsidRDefault="003F6CD3" w:rsidP="00B05DDC">
      <w:pPr>
        <w:spacing w:after="0" w:line="480" w:lineRule="auto"/>
        <w:ind w:left="720" w:hanging="720"/>
        <w:rPr>
          <w:rFonts w:ascii="Times New Roman" w:hAnsi="Times New Roman" w:cs="Times New Roman"/>
          <w:sz w:val="24"/>
          <w:szCs w:val="24"/>
        </w:rPr>
      </w:pPr>
      <w:r w:rsidRPr="00B05DDC">
        <w:rPr>
          <w:rFonts w:ascii="Times New Roman" w:hAnsi="Times New Roman" w:cs="Times New Roman"/>
          <w:sz w:val="24"/>
          <w:szCs w:val="24"/>
        </w:rPr>
        <w:t>Padmadewi, N. N., Artini, L., &amp; Putu Kerti Nitiasih, P. (2018, February). Techniques for Building Character and Literacy for 21st Century Education. In </w:t>
      </w:r>
      <w:r w:rsidRPr="00B05DDC">
        <w:rPr>
          <w:rFonts w:ascii="Times New Roman" w:hAnsi="Times New Roman" w:cs="Times New Roman"/>
          <w:i/>
          <w:iCs/>
          <w:sz w:val="24"/>
          <w:szCs w:val="24"/>
        </w:rPr>
        <w:t>1st International Conference on Education Innovation (ICEI 2017, May. https://doi. org/10.2991/icei-17.2018. 65</w:t>
      </w:r>
      <w:r w:rsidRPr="00B05DDC">
        <w:rPr>
          <w:rFonts w:ascii="Times New Roman" w:hAnsi="Times New Roman" w:cs="Times New Roman"/>
          <w:sz w:val="24"/>
          <w:szCs w:val="24"/>
        </w:rPr>
        <w:t>.</w:t>
      </w:r>
    </w:p>
    <w:p w:rsidR="004F0CEC" w:rsidRPr="00B05DDC" w:rsidRDefault="004F0CEC" w:rsidP="00B05DDC">
      <w:pPr>
        <w:spacing w:after="0" w:line="480" w:lineRule="auto"/>
        <w:ind w:left="720" w:hanging="720"/>
        <w:rPr>
          <w:rFonts w:ascii="Times New Roman" w:hAnsi="Times New Roman" w:cs="Times New Roman"/>
          <w:sz w:val="24"/>
          <w:szCs w:val="24"/>
        </w:rPr>
      </w:pPr>
    </w:p>
    <w:p w:rsidR="004F0CEC" w:rsidRPr="00B05DDC" w:rsidRDefault="004F0CEC" w:rsidP="00B05DDC">
      <w:pPr>
        <w:spacing w:after="0" w:line="480" w:lineRule="auto"/>
        <w:ind w:left="720" w:hanging="720"/>
        <w:jc w:val="center"/>
        <w:rPr>
          <w:rFonts w:ascii="Times New Roman" w:hAnsi="Times New Roman" w:cs="Times New Roman"/>
          <w:sz w:val="24"/>
          <w:szCs w:val="24"/>
        </w:rPr>
      </w:pPr>
    </w:p>
    <w:p w:rsidR="001F4B74" w:rsidRPr="00B05DDC" w:rsidRDefault="001F4B74" w:rsidP="00B05DDC">
      <w:pPr>
        <w:spacing w:after="0" w:line="480" w:lineRule="auto"/>
        <w:ind w:left="720" w:hanging="720"/>
        <w:rPr>
          <w:rFonts w:ascii="Times New Roman" w:hAnsi="Times New Roman" w:cs="Times New Roman"/>
          <w:b/>
          <w:sz w:val="24"/>
          <w:szCs w:val="24"/>
        </w:rPr>
      </w:pPr>
    </w:p>
    <w:p w:rsidR="00EE088A" w:rsidRPr="00B05DDC" w:rsidRDefault="00EE088A" w:rsidP="00B05DDC">
      <w:pPr>
        <w:spacing w:after="0" w:line="480" w:lineRule="auto"/>
        <w:rPr>
          <w:rFonts w:ascii="Times New Roman" w:hAnsi="Times New Roman" w:cs="Times New Roman"/>
          <w:sz w:val="24"/>
          <w:szCs w:val="24"/>
        </w:rPr>
      </w:pPr>
    </w:p>
    <w:sectPr w:rsidR="00EE088A" w:rsidRPr="00B05DDC" w:rsidSect="007A04C5">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F74" w:rsidRDefault="002A7F74">
      <w:pPr>
        <w:spacing w:after="0" w:line="240" w:lineRule="auto"/>
      </w:pPr>
      <w:r>
        <w:separator/>
      </w:r>
    </w:p>
  </w:endnote>
  <w:endnote w:type="continuationSeparator" w:id="0">
    <w:p w:rsidR="002A7F74" w:rsidRDefault="002A7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F74" w:rsidRDefault="002A7F74">
      <w:pPr>
        <w:spacing w:after="0" w:line="240" w:lineRule="auto"/>
      </w:pPr>
      <w:r>
        <w:separator/>
      </w:r>
    </w:p>
  </w:footnote>
  <w:footnote w:type="continuationSeparator" w:id="0">
    <w:p w:rsidR="002A7F74" w:rsidRDefault="002A7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6299283"/>
      <w:docPartObj>
        <w:docPartGallery w:val="Page Numbers (Top of Page)"/>
        <w:docPartUnique/>
      </w:docPartObj>
    </w:sdtPr>
    <w:sdtEndPr>
      <w:rPr>
        <w:noProof/>
      </w:rPr>
    </w:sdtEndPr>
    <w:sdtContent>
      <w:p w:rsidR="007A04C5" w:rsidRDefault="007A04C5">
        <w:pPr>
          <w:pStyle w:val="Header"/>
          <w:jc w:val="right"/>
        </w:pPr>
        <w:r>
          <w:rPr>
            <w:rFonts w:ascii="Times New Roman" w:hAnsi="Times New Roman" w:cs="Times New Roman"/>
            <w:sz w:val="24"/>
            <w:szCs w:val="24"/>
          </w:rPr>
          <w:t xml:space="preserve">BASELINE SURVEY </w:t>
        </w:r>
        <w:r>
          <w:rPr>
            <w:rFonts w:ascii="Times New Roman" w:hAnsi="Times New Roman" w:cs="Times New Roman"/>
            <w:sz w:val="24"/>
            <w:szCs w:val="24"/>
          </w:rPr>
          <w:t xml:space="preserve">                                                                                                                    </w:t>
        </w:r>
        <w:r w:rsidRPr="007A04C5">
          <w:rPr>
            <w:rFonts w:ascii="Times New Roman" w:hAnsi="Times New Roman" w:cs="Times New Roman"/>
            <w:sz w:val="24"/>
            <w:szCs w:val="24"/>
          </w:rPr>
          <w:fldChar w:fldCharType="begin"/>
        </w:r>
        <w:r w:rsidRPr="007A04C5">
          <w:rPr>
            <w:rFonts w:ascii="Times New Roman" w:hAnsi="Times New Roman" w:cs="Times New Roman"/>
            <w:sz w:val="24"/>
            <w:szCs w:val="24"/>
          </w:rPr>
          <w:instrText xml:space="preserve"> PAGE   \* MERGEFORMAT </w:instrText>
        </w:r>
        <w:r w:rsidRPr="007A04C5">
          <w:rPr>
            <w:rFonts w:ascii="Times New Roman" w:hAnsi="Times New Roman" w:cs="Times New Roman"/>
            <w:sz w:val="24"/>
            <w:szCs w:val="24"/>
          </w:rPr>
          <w:fldChar w:fldCharType="separate"/>
        </w:r>
        <w:r w:rsidR="00BD1FE3">
          <w:rPr>
            <w:rFonts w:ascii="Times New Roman" w:hAnsi="Times New Roman" w:cs="Times New Roman"/>
            <w:noProof/>
            <w:sz w:val="24"/>
            <w:szCs w:val="24"/>
          </w:rPr>
          <w:t>5</w:t>
        </w:r>
        <w:r w:rsidRPr="007A04C5">
          <w:rPr>
            <w:rFonts w:ascii="Times New Roman" w:hAnsi="Times New Roman" w:cs="Times New Roman"/>
            <w:noProof/>
            <w:sz w:val="24"/>
            <w:szCs w:val="24"/>
          </w:rPr>
          <w:fldChar w:fldCharType="end"/>
        </w:r>
      </w:p>
    </w:sdtContent>
  </w:sdt>
  <w:p w:rsidR="007A04C5" w:rsidRDefault="007A04C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4C5" w:rsidRPr="007A04C5" w:rsidRDefault="007A04C5">
    <w:pPr>
      <w:pStyle w:val="Header"/>
      <w:rPr>
        <w:rFonts w:ascii="Times New Roman" w:hAnsi="Times New Roman" w:cs="Times New Roman"/>
        <w:sz w:val="24"/>
        <w:szCs w:val="24"/>
      </w:rPr>
    </w:pPr>
    <w:r>
      <w:rPr>
        <w:rFonts w:ascii="Times New Roman" w:hAnsi="Times New Roman" w:cs="Times New Roman"/>
        <w:sz w:val="24"/>
        <w:szCs w:val="24"/>
      </w:rPr>
      <w:t xml:space="preserve">Running head: BASELINE SURVEY </w:t>
    </w:r>
    <w:r>
      <w:rPr>
        <w:rFonts w:ascii="Times New Roman" w:hAnsi="Times New Roman" w:cs="Times New Roman"/>
        <w:sz w:val="24"/>
        <w:szCs w:val="24"/>
      </w:rPr>
      <w:tab/>
    </w:r>
    <w:r>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51C0B"/>
    <w:multiLevelType w:val="multilevel"/>
    <w:tmpl w:val="F83CAEC2"/>
    <w:lvl w:ilvl="0">
      <w:start w:val="1"/>
      <w:numFmt w:val="decimal"/>
      <w:lvlText w:val="%1."/>
      <w:lvlJc w:val="left"/>
      <w:pPr>
        <w:tabs>
          <w:tab w:val="num" w:pos="3330"/>
        </w:tabs>
        <w:ind w:left="3330" w:hanging="360"/>
      </w:pPr>
    </w:lvl>
    <w:lvl w:ilvl="1" w:tentative="1">
      <w:start w:val="1"/>
      <w:numFmt w:val="decimal"/>
      <w:lvlText w:val="%2."/>
      <w:lvlJc w:val="left"/>
      <w:pPr>
        <w:tabs>
          <w:tab w:val="num" w:pos="4050"/>
        </w:tabs>
        <w:ind w:left="4050" w:hanging="360"/>
      </w:pPr>
    </w:lvl>
    <w:lvl w:ilvl="2" w:tentative="1">
      <w:start w:val="1"/>
      <w:numFmt w:val="decimal"/>
      <w:lvlText w:val="%3."/>
      <w:lvlJc w:val="left"/>
      <w:pPr>
        <w:tabs>
          <w:tab w:val="num" w:pos="4770"/>
        </w:tabs>
        <w:ind w:left="4770" w:hanging="360"/>
      </w:pPr>
    </w:lvl>
    <w:lvl w:ilvl="3" w:tentative="1">
      <w:start w:val="1"/>
      <w:numFmt w:val="decimal"/>
      <w:lvlText w:val="%4."/>
      <w:lvlJc w:val="left"/>
      <w:pPr>
        <w:tabs>
          <w:tab w:val="num" w:pos="5490"/>
        </w:tabs>
        <w:ind w:left="5490" w:hanging="360"/>
      </w:pPr>
    </w:lvl>
    <w:lvl w:ilvl="4" w:tentative="1">
      <w:start w:val="1"/>
      <w:numFmt w:val="decimal"/>
      <w:lvlText w:val="%5."/>
      <w:lvlJc w:val="left"/>
      <w:pPr>
        <w:tabs>
          <w:tab w:val="num" w:pos="6210"/>
        </w:tabs>
        <w:ind w:left="6210" w:hanging="360"/>
      </w:pPr>
    </w:lvl>
    <w:lvl w:ilvl="5" w:tentative="1">
      <w:start w:val="1"/>
      <w:numFmt w:val="decimal"/>
      <w:lvlText w:val="%6."/>
      <w:lvlJc w:val="left"/>
      <w:pPr>
        <w:tabs>
          <w:tab w:val="num" w:pos="6930"/>
        </w:tabs>
        <w:ind w:left="6930" w:hanging="360"/>
      </w:pPr>
    </w:lvl>
    <w:lvl w:ilvl="6" w:tentative="1">
      <w:start w:val="1"/>
      <w:numFmt w:val="decimal"/>
      <w:lvlText w:val="%7."/>
      <w:lvlJc w:val="left"/>
      <w:pPr>
        <w:tabs>
          <w:tab w:val="num" w:pos="7650"/>
        </w:tabs>
        <w:ind w:left="7650" w:hanging="360"/>
      </w:pPr>
    </w:lvl>
    <w:lvl w:ilvl="7" w:tentative="1">
      <w:start w:val="1"/>
      <w:numFmt w:val="decimal"/>
      <w:lvlText w:val="%8."/>
      <w:lvlJc w:val="left"/>
      <w:pPr>
        <w:tabs>
          <w:tab w:val="num" w:pos="8370"/>
        </w:tabs>
        <w:ind w:left="8370" w:hanging="360"/>
      </w:pPr>
    </w:lvl>
    <w:lvl w:ilvl="8" w:tentative="1">
      <w:start w:val="1"/>
      <w:numFmt w:val="decimal"/>
      <w:lvlText w:val="%9."/>
      <w:lvlJc w:val="left"/>
      <w:pPr>
        <w:tabs>
          <w:tab w:val="num" w:pos="9090"/>
        </w:tabs>
        <w:ind w:left="9090" w:hanging="360"/>
      </w:pPr>
    </w:lvl>
  </w:abstractNum>
  <w:abstractNum w:abstractNumId="1" w15:restartNumberingAfterBreak="0">
    <w:nsid w:val="3B79509B"/>
    <w:multiLevelType w:val="multilevel"/>
    <w:tmpl w:val="F83CAEC2"/>
    <w:lvl w:ilvl="0">
      <w:start w:val="1"/>
      <w:numFmt w:val="decimal"/>
      <w:lvlText w:val="%1."/>
      <w:lvlJc w:val="left"/>
      <w:pPr>
        <w:tabs>
          <w:tab w:val="num" w:pos="3330"/>
        </w:tabs>
        <w:ind w:left="3330" w:hanging="360"/>
      </w:pPr>
    </w:lvl>
    <w:lvl w:ilvl="1" w:tentative="1">
      <w:start w:val="1"/>
      <w:numFmt w:val="decimal"/>
      <w:lvlText w:val="%2."/>
      <w:lvlJc w:val="left"/>
      <w:pPr>
        <w:tabs>
          <w:tab w:val="num" w:pos="4050"/>
        </w:tabs>
        <w:ind w:left="4050" w:hanging="360"/>
      </w:pPr>
    </w:lvl>
    <w:lvl w:ilvl="2" w:tentative="1">
      <w:start w:val="1"/>
      <w:numFmt w:val="decimal"/>
      <w:lvlText w:val="%3."/>
      <w:lvlJc w:val="left"/>
      <w:pPr>
        <w:tabs>
          <w:tab w:val="num" w:pos="4770"/>
        </w:tabs>
        <w:ind w:left="4770" w:hanging="360"/>
      </w:pPr>
    </w:lvl>
    <w:lvl w:ilvl="3" w:tentative="1">
      <w:start w:val="1"/>
      <w:numFmt w:val="decimal"/>
      <w:lvlText w:val="%4."/>
      <w:lvlJc w:val="left"/>
      <w:pPr>
        <w:tabs>
          <w:tab w:val="num" w:pos="5490"/>
        </w:tabs>
        <w:ind w:left="5490" w:hanging="360"/>
      </w:pPr>
    </w:lvl>
    <w:lvl w:ilvl="4" w:tentative="1">
      <w:start w:val="1"/>
      <w:numFmt w:val="decimal"/>
      <w:lvlText w:val="%5."/>
      <w:lvlJc w:val="left"/>
      <w:pPr>
        <w:tabs>
          <w:tab w:val="num" w:pos="6210"/>
        </w:tabs>
        <w:ind w:left="6210" w:hanging="360"/>
      </w:pPr>
    </w:lvl>
    <w:lvl w:ilvl="5" w:tentative="1">
      <w:start w:val="1"/>
      <w:numFmt w:val="decimal"/>
      <w:lvlText w:val="%6."/>
      <w:lvlJc w:val="left"/>
      <w:pPr>
        <w:tabs>
          <w:tab w:val="num" w:pos="6930"/>
        </w:tabs>
        <w:ind w:left="6930" w:hanging="360"/>
      </w:pPr>
    </w:lvl>
    <w:lvl w:ilvl="6" w:tentative="1">
      <w:start w:val="1"/>
      <w:numFmt w:val="decimal"/>
      <w:lvlText w:val="%7."/>
      <w:lvlJc w:val="left"/>
      <w:pPr>
        <w:tabs>
          <w:tab w:val="num" w:pos="7650"/>
        </w:tabs>
        <w:ind w:left="7650" w:hanging="360"/>
      </w:pPr>
    </w:lvl>
    <w:lvl w:ilvl="7" w:tentative="1">
      <w:start w:val="1"/>
      <w:numFmt w:val="decimal"/>
      <w:lvlText w:val="%8."/>
      <w:lvlJc w:val="left"/>
      <w:pPr>
        <w:tabs>
          <w:tab w:val="num" w:pos="8370"/>
        </w:tabs>
        <w:ind w:left="8370" w:hanging="360"/>
      </w:pPr>
    </w:lvl>
    <w:lvl w:ilvl="8" w:tentative="1">
      <w:start w:val="1"/>
      <w:numFmt w:val="decimal"/>
      <w:lvlText w:val="%9."/>
      <w:lvlJc w:val="left"/>
      <w:pPr>
        <w:tabs>
          <w:tab w:val="num" w:pos="9090"/>
        </w:tabs>
        <w:ind w:left="909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E5A"/>
    <w:rsid w:val="001F4B74"/>
    <w:rsid w:val="001F7126"/>
    <w:rsid w:val="00293E1F"/>
    <w:rsid w:val="002A7F74"/>
    <w:rsid w:val="002B2070"/>
    <w:rsid w:val="002E57DD"/>
    <w:rsid w:val="003267A6"/>
    <w:rsid w:val="00392D57"/>
    <w:rsid w:val="003F6CD3"/>
    <w:rsid w:val="004017EE"/>
    <w:rsid w:val="00434640"/>
    <w:rsid w:val="004F0CEC"/>
    <w:rsid w:val="005E5531"/>
    <w:rsid w:val="005E6E5A"/>
    <w:rsid w:val="0062501D"/>
    <w:rsid w:val="007A04C5"/>
    <w:rsid w:val="008B139C"/>
    <w:rsid w:val="00900362"/>
    <w:rsid w:val="00957560"/>
    <w:rsid w:val="009940C0"/>
    <w:rsid w:val="00A95662"/>
    <w:rsid w:val="00B05DDC"/>
    <w:rsid w:val="00BC4DDC"/>
    <w:rsid w:val="00BC59BD"/>
    <w:rsid w:val="00BD1FE3"/>
    <w:rsid w:val="00EE088A"/>
    <w:rsid w:val="00F4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61FC9"/>
  <w15:chartTrackingRefBased/>
  <w15:docId w15:val="{D6341B15-F01C-4EAD-AB94-FDD2394CF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6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E5A"/>
  </w:style>
  <w:style w:type="paragraph" w:styleId="Footer">
    <w:name w:val="footer"/>
    <w:basedOn w:val="Normal"/>
    <w:link w:val="FooterChar"/>
    <w:uiPriority w:val="99"/>
    <w:unhideWhenUsed/>
    <w:rsid w:val="005E6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E5A"/>
  </w:style>
  <w:style w:type="paragraph" w:styleId="ListParagraph">
    <w:name w:val="List Paragraph"/>
    <w:basedOn w:val="Normal"/>
    <w:uiPriority w:val="34"/>
    <w:qFormat/>
    <w:rsid w:val="008B139C"/>
    <w:pPr>
      <w:ind w:left="720"/>
      <w:contextualSpacing/>
    </w:pPr>
  </w:style>
  <w:style w:type="character" w:styleId="Hyperlink">
    <w:name w:val="Hyperlink"/>
    <w:basedOn w:val="DefaultParagraphFont"/>
    <w:uiPriority w:val="99"/>
    <w:semiHidden/>
    <w:unhideWhenUsed/>
    <w:rsid w:val="00392D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2021-09-14T02:03:00Z</dcterms:created>
  <dcterms:modified xsi:type="dcterms:W3CDTF">2021-09-14T02:03:00Z</dcterms:modified>
</cp:coreProperties>
</file>